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CA" w:rsidRDefault="00FD4DCA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  <w:u w:val="single"/>
        </w:rPr>
      </w:pPr>
      <w:bookmarkStart w:id="0" w:name="_gjdgxs" w:colFirst="0" w:colLast="0"/>
      <w:bookmarkEnd w:id="0"/>
    </w:p>
    <w:p w:rsidR="00FD4DCA" w:rsidRDefault="00FB0596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noProof/>
          <w:color w:val="404040"/>
          <w:sz w:val="20"/>
          <w:szCs w:val="20"/>
        </w:rPr>
        <w:drawing>
          <wp:inline distT="0" distB="0" distL="0" distR="0">
            <wp:extent cx="1671997" cy="33100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4DCA" w:rsidRDefault="00FD4DCA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FD4DCA" w:rsidRDefault="00FB0596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Nombre </w:t>
      </w:r>
      <w:r w:rsidR="00A55F17">
        <w:rPr>
          <w:rFonts w:ascii="Arial" w:eastAsia="Arial" w:hAnsi="Arial" w:cs="Arial"/>
          <w:color w:val="404040"/>
          <w:sz w:val="24"/>
          <w:szCs w:val="24"/>
        </w:rPr>
        <w:t>José Ulises Limón Sánchez</w:t>
      </w:r>
    </w:p>
    <w:p w:rsidR="00FD4DCA" w:rsidRDefault="00FB0596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Grado de Escolaridad </w:t>
      </w:r>
      <w:r w:rsidR="00A55F17">
        <w:rPr>
          <w:rFonts w:ascii="Arial" w:eastAsia="Arial" w:hAnsi="Arial" w:cs="Arial"/>
          <w:color w:val="404040"/>
          <w:sz w:val="24"/>
          <w:szCs w:val="24"/>
        </w:rPr>
        <w:t>Licenciatura en Derecho</w:t>
      </w:r>
    </w:p>
    <w:p w:rsidR="00FD4DCA" w:rsidRDefault="00FB0596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Cédula Profesional </w:t>
      </w:r>
      <w:r>
        <w:rPr>
          <w:rFonts w:ascii="Arial" w:eastAsia="Arial" w:hAnsi="Arial" w:cs="Arial"/>
          <w:b/>
          <w:i/>
          <w:color w:val="404040"/>
          <w:sz w:val="24"/>
          <w:szCs w:val="24"/>
        </w:rPr>
        <w:t>(Licenciatura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) </w:t>
      </w:r>
      <w:r w:rsidR="003E00B9">
        <w:rPr>
          <w:rFonts w:ascii="Arial" w:eastAsia="Arial" w:hAnsi="Arial" w:cs="Arial"/>
          <w:color w:val="404040"/>
          <w:sz w:val="24"/>
          <w:szCs w:val="24"/>
        </w:rPr>
        <w:t>3217338</w:t>
      </w:r>
    </w:p>
    <w:p w:rsidR="00A55F17" w:rsidRPr="00617505" w:rsidRDefault="00FB0596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Teléfono de Oficina</w:t>
      </w:r>
      <w:r w:rsidR="00100A6C">
        <w:rPr>
          <w:rFonts w:ascii="Arial" w:eastAsia="Arial" w:hAnsi="Arial" w:cs="Arial"/>
          <w:b/>
          <w:color w:val="404040"/>
          <w:sz w:val="24"/>
          <w:szCs w:val="24"/>
        </w:rPr>
        <w:t xml:space="preserve"> </w:t>
      </w:r>
      <w:r w:rsidR="003E00B9" w:rsidRPr="00617505">
        <w:rPr>
          <w:rFonts w:ascii="Arial" w:eastAsia="Arial" w:hAnsi="Arial" w:cs="Arial"/>
          <w:color w:val="404040"/>
          <w:sz w:val="24"/>
          <w:szCs w:val="24"/>
        </w:rPr>
        <w:t>7828234393</w:t>
      </w:r>
    </w:p>
    <w:p w:rsidR="00FD4DCA" w:rsidRPr="00A55F17" w:rsidRDefault="00A55F17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Correo Electrónico </w:t>
      </w:r>
    </w:p>
    <w:p w:rsidR="00FD4DCA" w:rsidRPr="00A55F17" w:rsidRDefault="00FD4DCA">
      <w:pPr>
        <w:spacing w:after="0" w:line="240" w:lineRule="auto"/>
        <w:rPr>
          <w:rFonts w:ascii="NeoSansPro-Bold" w:eastAsia="NeoSansPro-Bold" w:hAnsi="NeoSansPro-Bold" w:cs="NeoSansPro-Bold"/>
          <w:color w:val="FFFFFF"/>
          <w:sz w:val="24"/>
          <w:szCs w:val="24"/>
        </w:rPr>
      </w:pPr>
    </w:p>
    <w:p w:rsidR="00FD4DCA" w:rsidRDefault="00FB0596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66874" cy="37216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Formación Académica</w:t>
      </w:r>
    </w:p>
    <w:p w:rsidR="00FD4DCA" w:rsidRDefault="00FD4DCA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FD4DCA" w:rsidRDefault="00617505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2014-2016</w:t>
      </w:r>
    </w:p>
    <w:p w:rsidR="00FD4DCA" w:rsidRDefault="00617505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Maestría en Ciencias Penales con Especialidad en Juicios Orales. Colegio de Derecho y Juicios Orales.</w:t>
      </w:r>
    </w:p>
    <w:p w:rsidR="00617505" w:rsidRDefault="00617505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617505" w:rsidRDefault="00617505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 w:rsidRPr="00617505">
        <w:rPr>
          <w:rFonts w:ascii="Arial" w:eastAsia="Arial" w:hAnsi="Arial" w:cs="Arial"/>
          <w:b/>
          <w:color w:val="404040"/>
          <w:sz w:val="24"/>
          <w:szCs w:val="24"/>
        </w:rPr>
        <w:t>1994-1998</w:t>
      </w:r>
    </w:p>
    <w:p w:rsidR="00617505" w:rsidRPr="00617505" w:rsidRDefault="00617505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Licenciatura en Derecho. Universidad Veracruzana</w:t>
      </w:r>
    </w:p>
    <w:p w:rsidR="00FD4DCA" w:rsidRDefault="00FD4DCA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617505" w:rsidRDefault="00617505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FD4DCA" w:rsidRDefault="00FB0596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70924" cy="325967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Trayectoria Profesional</w:t>
      </w:r>
    </w:p>
    <w:p w:rsidR="00FD4DCA" w:rsidRDefault="00FD4DCA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3E00B9" w:rsidRDefault="003E00B9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2019 a la actualidad</w:t>
      </w:r>
    </w:p>
    <w:p w:rsidR="00FD4DCA" w:rsidRDefault="003E00B9" w:rsidP="003E00B9">
      <w:pPr>
        <w:spacing w:after="0"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Fiscal de Distrito de Distrito de la Unidad Integral del VII Distrito Judicial de Poza Rica, Veracruz.</w:t>
      </w:r>
    </w:p>
    <w:p w:rsidR="003E00B9" w:rsidRDefault="003E00B9" w:rsidP="003E00B9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3E00B9" w:rsidRPr="003E00B9" w:rsidRDefault="003E00B9" w:rsidP="003E00B9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 w:rsidRPr="003E00B9">
        <w:rPr>
          <w:rFonts w:ascii="Arial" w:eastAsia="Arial" w:hAnsi="Arial" w:cs="Arial"/>
          <w:b/>
          <w:color w:val="404040"/>
          <w:sz w:val="24"/>
          <w:szCs w:val="24"/>
        </w:rPr>
        <w:t>2019</w:t>
      </w:r>
    </w:p>
    <w:p w:rsidR="003E00B9" w:rsidRDefault="003E00B9" w:rsidP="003E00B9">
      <w:pPr>
        <w:spacing w:after="0" w:line="240" w:lineRule="auto"/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Fiscal de Distrito de Distrito de la Unidad Integral del Distrito Judicial de San Andrés Tuxtla, Veracruz.</w:t>
      </w:r>
    </w:p>
    <w:p w:rsidR="003E00B9" w:rsidRDefault="003E00B9" w:rsidP="003E00B9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3E00B9" w:rsidRPr="003E00B9" w:rsidRDefault="003E00B9" w:rsidP="003E00B9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 w:rsidRPr="003E00B9">
        <w:rPr>
          <w:rFonts w:ascii="Arial" w:eastAsia="Arial" w:hAnsi="Arial" w:cs="Arial"/>
          <w:b/>
          <w:color w:val="404040"/>
          <w:sz w:val="24"/>
          <w:szCs w:val="24"/>
        </w:rPr>
        <w:t>2013-2019</w:t>
      </w:r>
    </w:p>
    <w:p w:rsidR="003E00B9" w:rsidRDefault="003E00B9" w:rsidP="003E00B9">
      <w:pPr>
        <w:jc w:val="both"/>
        <w:rPr>
          <w:rFonts w:ascii="NeoSansPro-Regular" w:eastAsia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Fiscal Investigador en la Unidad Integral de Procuración de Justicia en Córdoba, Veracruz.</w:t>
      </w:r>
    </w:p>
    <w:p w:rsidR="003E00B9" w:rsidRPr="003E00B9" w:rsidRDefault="003E00B9" w:rsidP="003E00B9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 w:rsidRPr="003E00B9">
        <w:rPr>
          <w:rFonts w:ascii="Arial" w:eastAsia="Arial" w:hAnsi="Arial" w:cs="Arial"/>
          <w:b/>
          <w:color w:val="404040"/>
          <w:sz w:val="24"/>
          <w:szCs w:val="24"/>
        </w:rPr>
        <w:t>2011-2013</w:t>
      </w:r>
    </w:p>
    <w:p w:rsidR="003E00B9" w:rsidRDefault="003E00B9" w:rsidP="003E00B9">
      <w:pPr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Agente del Ministerio Público Investigador Especializado en Delitos de Comercio, Córdoba, Veracruz </w:t>
      </w:r>
    </w:p>
    <w:p w:rsidR="003E00B9" w:rsidRPr="003E00B9" w:rsidRDefault="003E00B9" w:rsidP="003E00B9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 w:rsidRPr="003E00B9">
        <w:rPr>
          <w:rFonts w:ascii="Arial" w:eastAsia="Arial" w:hAnsi="Arial" w:cs="Arial"/>
          <w:b/>
          <w:color w:val="404040"/>
          <w:sz w:val="24"/>
          <w:szCs w:val="24"/>
        </w:rPr>
        <w:t>2011</w:t>
      </w:r>
    </w:p>
    <w:p w:rsidR="003E00B9" w:rsidRDefault="003E00B9" w:rsidP="003E00B9">
      <w:pPr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Agente del Ministerio Público Adscrito al Juzgado Primero de Primera instancia del Distrito Judicial de Córdoba, Veracruz.</w:t>
      </w:r>
    </w:p>
    <w:p w:rsidR="00100A6C" w:rsidRDefault="00100A6C" w:rsidP="003E00B9">
      <w:pPr>
        <w:jc w:val="both"/>
        <w:rPr>
          <w:rFonts w:ascii="Arial" w:eastAsia="Arial" w:hAnsi="Arial" w:cs="Arial"/>
          <w:color w:val="404040"/>
          <w:sz w:val="24"/>
          <w:szCs w:val="24"/>
        </w:rPr>
      </w:pPr>
    </w:p>
    <w:p w:rsidR="003E00B9" w:rsidRPr="003E00B9" w:rsidRDefault="003E00B9" w:rsidP="003E00B9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 w:rsidRPr="003E00B9">
        <w:rPr>
          <w:rFonts w:ascii="Arial" w:eastAsia="Arial" w:hAnsi="Arial" w:cs="Arial"/>
          <w:b/>
          <w:color w:val="404040"/>
          <w:sz w:val="24"/>
          <w:szCs w:val="24"/>
        </w:rPr>
        <w:t>2011</w:t>
      </w:r>
    </w:p>
    <w:p w:rsidR="003E00B9" w:rsidRDefault="003E00B9" w:rsidP="003E00B9">
      <w:pPr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Agente del Ministerio Público adscrito al Juzgado Primero Menor del Distrito Judicial de Córdoba, Veracruz.</w:t>
      </w:r>
    </w:p>
    <w:p w:rsidR="003E00B9" w:rsidRPr="003E00B9" w:rsidRDefault="003E00B9" w:rsidP="003E00B9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 w:rsidRPr="003E00B9">
        <w:rPr>
          <w:rFonts w:ascii="Arial" w:eastAsia="Arial" w:hAnsi="Arial" w:cs="Arial"/>
          <w:b/>
          <w:color w:val="404040"/>
          <w:sz w:val="24"/>
          <w:szCs w:val="24"/>
        </w:rPr>
        <w:t>2005-2010</w:t>
      </w:r>
    </w:p>
    <w:p w:rsidR="003E00B9" w:rsidRDefault="003E00B9" w:rsidP="003E00B9">
      <w:pPr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Oficial encargado del Registro Civil, Atoyac, Veracruz.</w:t>
      </w:r>
    </w:p>
    <w:p w:rsidR="003E00B9" w:rsidRPr="00617505" w:rsidRDefault="00617505" w:rsidP="00617505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 w:rsidRPr="00617505">
        <w:rPr>
          <w:rFonts w:ascii="Arial" w:eastAsia="Arial" w:hAnsi="Arial" w:cs="Arial"/>
          <w:b/>
          <w:color w:val="404040"/>
          <w:sz w:val="24"/>
          <w:szCs w:val="24"/>
        </w:rPr>
        <w:t>2005</w:t>
      </w:r>
    </w:p>
    <w:p w:rsidR="003E00B9" w:rsidRDefault="00617505" w:rsidP="003E00B9">
      <w:pPr>
        <w:jc w:val="both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Instituto de la Policía Auxiliar (IPAX)</w:t>
      </w:r>
      <w:r w:rsidR="009F7196">
        <w:rPr>
          <w:rFonts w:ascii="Arial" w:eastAsia="Arial" w:hAnsi="Arial" w:cs="Arial"/>
          <w:color w:val="404040"/>
          <w:sz w:val="24"/>
          <w:szCs w:val="24"/>
        </w:rPr>
        <w:t>. Asesor Jurídico.</w:t>
      </w:r>
    </w:p>
    <w:p w:rsidR="00617505" w:rsidRDefault="00617505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100A6C" w:rsidRDefault="00FB0596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09684" cy="340344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 xml:space="preserve"> </w:t>
      </w:r>
    </w:p>
    <w:p w:rsidR="00100A6C" w:rsidRDefault="00100A6C">
      <w:pPr>
        <w:rPr>
          <w:rFonts w:ascii="Arial" w:eastAsia="Arial" w:hAnsi="Arial" w:cs="Arial"/>
          <w:color w:val="404040"/>
          <w:sz w:val="24"/>
          <w:szCs w:val="24"/>
        </w:rPr>
      </w:pPr>
    </w:p>
    <w:p w:rsidR="00A55F17" w:rsidRPr="00617505" w:rsidRDefault="00A55F17">
      <w:pPr>
        <w:rPr>
          <w:rFonts w:ascii="Arial" w:eastAsia="Arial" w:hAnsi="Arial" w:cs="Arial"/>
          <w:color w:val="404040"/>
          <w:sz w:val="24"/>
          <w:szCs w:val="24"/>
        </w:rPr>
      </w:pPr>
      <w:r w:rsidRPr="00617505">
        <w:rPr>
          <w:rFonts w:ascii="Arial" w:eastAsia="Arial" w:hAnsi="Arial" w:cs="Arial"/>
          <w:color w:val="404040"/>
          <w:sz w:val="24"/>
          <w:szCs w:val="24"/>
        </w:rPr>
        <w:t xml:space="preserve">Derecho Penal, Derecho </w:t>
      </w:r>
      <w:r w:rsidR="00793173" w:rsidRPr="00617505">
        <w:rPr>
          <w:rFonts w:ascii="Arial" w:eastAsia="Arial" w:hAnsi="Arial" w:cs="Arial"/>
          <w:color w:val="404040"/>
          <w:sz w:val="24"/>
          <w:szCs w:val="24"/>
        </w:rPr>
        <w:t>C</w:t>
      </w:r>
      <w:r w:rsidR="00793173">
        <w:rPr>
          <w:rFonts w:ascii="Arial" w:eastAsia="Arial" w:hAnsi="Arial" w:cs="Arial"/>
          <w:color w:val="404040"/>
          <w:sz w:val="24"/>
          <w:szCs w:val="24"/>
        </w:rPr>
        <w:t>onstitucional</w:t>
      </w:r>
      <w:r w:rsidR="00E6383B">
        <w:rPr>
          <w:rFonts w:ascii="Arial" w:eastAsia="Arial" w:hAnsi="Arial" w:cs="Arial"/>
          <w:color w:val="404040"/>
          <w:sz w:val="24"/>
          <w:szCs w:val="24"/>
        </w:rPr>
        <w:t xml:space="preserve">, Juicio de </w:t>
      </w:r>
      <w:r w:rsidR="00793173">
        <w:rPr>
          <w:rFonts w:ascii="Arial" w:eastAsia="Arial" w:hAnsi="Arial" w:cs="Arial"/>
          <w:color w:val="404040"/>
          <w:sz w:val="24"/>
          <w:szCs w:val="24"/>
        </w:rPr>
        <w:t xml:space="preserve">Amparo </w:t>
      </w:r>
      <w:r w:rsidR="00E6383B">
        <w:rPr>
          <w:rFonts w:ascii="Arial" w:eastAsia="Arial" w:hAnsi="Arial" w:cs="Arial"/>
          <w:color w:val="404040"/>
          <w:sz w:val="24"/>
          <w:szCs w:val="24"/>
        </w:rPr>
        <w:t xml:space="preserve">y </w:t>
      </w:r>
      <w:r w:rsidR="00793173">
        <w:rPr>
          <w:rFonts w:ascii="Arial" w:eastAsia="Arial" w:hAnsi="Arial" w:cs="Arial"/>
          <w:color w:val="404040"/>
          <w:sz w:val="24"/>
          <w:szCs w:val="24"/>
        </w:rPr>
        <w:t xml:space="preserve">Derecho </w:t>
      </w:r>
      <w:bookmarkStart w:id="1" w:name="_GoBack"/>
      <w:bookmarkEnd w:id="1"/>
      <w:r w:rsidR="00793173">
        <w:rPr>
          <w:rFonts w:ascii="Arial" w:eastAsia="Arial" w:hAnsi="Arial" w:cs="Arial"/>
          <w:color w:val="404040"/>
          <w:sz w:val="24"/>
          <w:szCs w:val="24"/>
        </w:rPr>
        <w:t>Civil</w:t>
      </w:r>
      <w:r w:rsidR="00E6383B">
        <w:rPr>
          <w:rFonts w:ascii="Arial" w:eastAsia="Arial" w:hAnsi="Arial" w:cs="Arial"/>
          <w:color w:val="404040"/>
          <w:sz w:val="24"/>
          <w:szCs w:val="24"/>
        </w:rPr>
        <w:t>.</w:t>
      </w:r>
    </w:p>
    <w:p w:rsidR="00A55F17" w:rsidRDefault="00A55F17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</w:p>
    <w:sectPr w:rsidR="00A55F17" w:rsidSect="00097F75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A37" w:rsidRDefault="00E55A37">
      <w:pPr>
        <w:spacing w:after="0" w:line="240" w:lineRule="auto"/>
      </w:pPr>
      <w:r>
        <w:separator/>
      </w:r>
    </w:p>
  </w:endnote>
  <w:endnote w:type="continuationSeparator" w:id="1">
    <w:p w:rsidR="00E55A37" w:rsidRDefault="00E5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CA" w:rsidRDefault="00FB05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-1980564</wp:posOffset>
          </wp:positionH>
          <wp:positionV relativeFrom="paragraph">
            <wp:posOffset>-294639</wp:posOffset>
          </wp:positionV>
          <wp:extent cx="8067040" cy="5238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A37" w:rsidRDefault="00E55A37">
      <w:pPr>
        <w:spacing w:after="0" w:line="240" w:lineRule="auto"/>
      </w:pPr>
      <w:r>
        <w:separator/>
      </w:r>
    </w:p>
  </w:footnote>
  <w:footnote w:type="continuationSeparator" w:id="1">
    <w:p w:rsidR="00E55A37" w:rsidRDefault="00E5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CA" w:rsidRDefault="00FB05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-1351914</wp:posOffset>
          </wp:positionH>
          <wp:positionV relativeFrom="paragraph">
            <wp:posOffset>-20954</wp:posOffset>
          </wp:positionV>
          <wp:extent cx="694055" cy="111442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DCA"/>
    <w:rsid w:val="00097F75"/>
    <w:rsid w:val="00100A6C"/>
    <w:rsid w:val="00190C62"/>
    <w:rsid w:val="00371318"/>
    <w:rsid w:val="003E00B9"/>
    <w:rsid w:val="00617505"/>
    <w:rsid w:val="00623F0A"/>
    <w:rsid w:val="00695630"/>
    <w:rsid w:val="00793173"/>
    <w:rsid w:val="00833C30"/>
    <w:rsid w:val="009F7196"/>
    <w:rsid w:val="00A04687"/>
    <w:rsid w:val="00A55F17"/>
    <w:rsid w:val="00E1108A"/>
    <w:rsid w:val="00E55A37"/>
    <w:rsid w:val="00E6383B"/>
    <w:rsid w:val="00FB0596"/>
    <w:rsid w:val="00FD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7F75"/>
  </w:style>
  <w:style w:type="paragraph" w:styleId="Ttulo1">
    <w:name w:val="heading 1"/>
    <w:basedOn w:val="Normal"/>
    <w:next w:val="Normal"/>
    <w:rsid w:val="00097F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97F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97F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97F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97F7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097F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97F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97F7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97F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PGJ</cp:lastModifiedBy>
  <cp:revision>2</cp:revision>
  <dcterms:created xsi:type="dcterms:W3CDTF">2020-09-04T18:47:00Z</dcterms:created>
  <dcterms:modified xsi:type="dcterms:W3CDTF">2020-09-04T18:47:00Z</dcterms:modified>
</cp:coreProperties>
</file>